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03:45 МСК · База обновлена: 29.08.2026, 03:40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 xml:space="preserve">ПО ДАННЫМ КРУПНЫХ ИССЛЕДОВАНИЙ ПЯТИЛЕТНЯЯ БЕЗРЕЦИДИВНАЯ ВЫЖИВАЕМОСТЬ ПРИ АДЕКВАТНОМ ЛУЧЕВОМ ЛЕЧЕНИИ МЕНИНГИОМ WHO GRADE I СОСТАВЛЯЕТ ОКОЛО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4 - 90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НАИБОЛЕЕ ЧАСТОЙ ЛОКАЛИЗАЦИЕЙ ГЕРМИНОМ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боковые желудочки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мозжечок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хиазмально-селлярная область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пинеальная область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пинеальная область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КЛЮЧЕВЫМ МОРФОЛОГИЧЕСКИМ ПРИЗНАКОМ, ОТЛИЧАЮЩИМ КИСТУ КАРМАНА РАТКЕ ОТ КРАНИОФАРИНГЕАЛЬНОЙ КИСТЫ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выстилка многослойным эпителием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так называемых, гигантских клеток в стенке краниофарингеальной кисты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выстилка однослойным кубическим эпителием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выстилка переходным эпителием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выстилка однослойным кубическим эпителием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ИСПОЛЬЗОВАНИЕ ИНТРАОПЕРАЦИОННОЙ ДОПЛЕРОГРАФИИ ПРИ ТРАНСНАЗАЗАЛЬНОЙ ЭНДОСКОПИЧЕСКОЙ ОПЕРАЦИИ НЕОБХОДИМО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локации сонной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локации ствола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поиска венозных коллекторов основания черепа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определения тока ликвора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локации сонной артерии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ПЯТИПРОЦЕНТНЫЙ РАСТВОР ГЛЮКОЗЫ ИМЕЕТ ОСМОЛЯРНОСТЬ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МОСМ/Л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285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278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1 - 285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ПО РЕШЕНИЮ ВРАЧЕБНОЙ КОМИССИИ ПРИ БЛАГОПРИЯТНОМ КЛИНИЧЕСКОМ И ТРУДОВОМ ПРОГНОЗЕ ЛИСТОК НЕТРУДОСПОСОБНОСТИ ПОСЛЕ ТРАВМ И РЕКОНСТРУКТИВНЫХ ОПЕРАЦИЙ МОЖЕТ БЫТЬ ВЫДАН И ПРОДЛЕН ДО ДНЯ ВОССТАНОВЛЕНИЯ ТРУДОСПОСОБНОСТИ, НО НА СРОК НЕ БОЛЕЕ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МЕСЯЦЕВ С ДАТЫ НАЧАЛА ВРЕМЕННОЙ НЕТРУДОСПОСОБНОСТИ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СУСТАВОМ КРЮВЕЛЬЕ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атланто-затылочный сустав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боковой атланто-аксиальный сустав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сустав между передней дугой С1 и зубом СII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дугоотростчатый сустав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сустав между передней дугой С1 и зубом СII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ЭФФЕКТИВНЫМ МЕТОДОМ ЛЕЧЕНИЯ КРУПНЫХ ВТОРИЧНЫХ ОПУХОЛЕЙ ГОЛОВНОГО МОЗГА С ТОЧКИ ЗРЕНИЯ ЛОКАЛЬНОГО КОНТРОЛЯ ОПУХОЛИ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облучение всего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стереотаксическая лучевая терапия в режиме гипофракционирования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удаление с последующей лучевой терапией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хирургическое удаление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хирургическое удаление с последующей лучевой терапией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СОЧЕТАННОЙ ТРАВМЕ ГОЛОВЫ И ДЛИННЫХ ТРУБЧАТЫХ КОСТЕЙ ПОВЫШАЕТСЯ ВЕРОЯТНОСТЬ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воздушной эмболии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эпилептических приступов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назальной ликвореи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жировой эмболии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жировой эмболии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РАЗРУШЕНИИ БОЛЕЕ ЧЕМ 90% ИЛИ БОЛЕЕ НЕЙРОНОВ СУПРАОПТИЧЕСКОГО И ПАРАВЕНТРИКУЛЯРНОГО ЯДЕР РАЗВИВАЕТСЯ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несахарный диабет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гипопитуитаризм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третичный гипогонадизм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гиперпролактинемия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несахарный диабет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